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35" w:rsidRDefault="00F63135" w:rsidP="00861164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s-AR"/>
        </w:rPr>
        <w:drawing>
          <wp:inline distT="0" distB="0" distL="0" distR="0">
            <wp:extent cx="1971675" cy="1588046"/>
            <wp:effectExtent l="0" t="0" r="0" b="0"/>
            <wp:docPr id="1" name="Imagen 1" descr="C:\Users\Ines\Desktop\agustina\CUT 2019\PERFILES\NIELSEN\Niel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\Desktop\agustina\CUT 2019\PERFILES\NIELSEN\Niels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44" cy="15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135" w:rsidRDefault="00F63135" w:rsidP="00861164">
      <w:pPr>
        <w:spacing w:after="0"/>
        <w:jc w:val="both"/>
        <w:rPr>
          <w:rFonts w:ascii="Calibri" w:hAnsi="Calibri" w:cs="Calibri"/>
          <w:b/>
        </w:rPr>
      </w:pPr>
    </w:p>
    <w:p w:rsidR="00861164" w:rsidRDefault="00861164" w:rsidP="00861164">
      <w:pPr>
        <w:spacing w:after="0"/>
        <w:jc w:val="both"/>
        <w:rPr>
          <w:rFonts w:ascii="Calibri" w:hAnsi="Calibri" w:cs="Calibri"/>
          <w:b/>
        </w:rPr>
      </w:pPr>
      <w:bookmarkStart w:id="0" w:name="_GoBack"/>
      <w:bookmarkEnd w:id="0"/>
      <w:r w:rsidRPr="000B4953">
        <w:rPr>
          <w:rFonts w:ascii="Calibri" w:hAnsi="Calibri" w:cs="Calibri"/>
          <w:b/>
        </w:rPr>
        <w:t xml:space="preserve">AXEL EMIL NIELSEN </w:t>
      </w:r>
    </w:p>
    <w:p w:rsidR="00861164" w:rsidRPr="000B4953" w:rsidRDefault="00861164" w:rsidP="00861164">
      <w:pPr>
        <w:spacing w:after="0"/>
        <w:jc w:val="both"/>
        <w:rPr>
          <w:rFonts w:ascii="Calibri" w:hAnsi="Calibri" w:cs="Calibri"/>
          <w:b/>
        </w:rPr>
      </w:pPr>
    </w:p>
    <w:p w:rsidR="00861164" w:rsidRPr="00987480" w:rsidRDefault="00861164" w:rsidP="00861164">
      <w:pPr>
        <w:spacing w:after="0"/>
        <w:jc w:val="both"/>
        <w:rPr>
          <w:rFonts w:ascii="Calibri" w:hAnsi="Calibri" w:cs="Calibri"/>
        </w:rPr>
      </w:pPr>
      <w:r w:rsidRPr="00987480">
        <w:rPr>
          <w:rFonts w:ascii="Calibri" w:hAnsi="Calibri" w:cs="Calibri"/>
        </w:rPr>
        <w:t xml:space="preserve">Doctor en Historia (Universidad Nacional de Córdoba 1989) y </w:t>
      </w:r>
      <w:proofErr w:type="spellStart"/>
      <w:r w:rsidRPr="00987480">
        <w:rPr>
          <w:rFonts w:ascii="Calibri" w:hAnsi="Calibri" w:cs="Calibri"/>
        </w:rPr>
        <w:t>Ph.D</w:t>
      </w:r>
      <w:proofErr w:type="spellEnd"/>
      <w:r w:rsidRPr="00987480">
        <w:rPr>
          <w:rFonts w:ascii="Calibri" w:hAnsi="Calibri" w:cs="Calibri"/>
        </w:rPr>
        <w:t xml:space="preserve">. in </w:t>
      </w:r>
      <w:proofErr w:type="spellStart"/>
      <w:r w:rsidRPr="00987480">
        <w:rPr>
          <w:rFonts w:ascii="Calibri" w:hAnsi="Calibri" w:cs="Calibri"/>
        </w:rPr>
        <w:t>Anthropology</w:t>
      </w:r>
      <w:proofErr w:type="spellEnd"/>
      <w:r w:rsidRPr="00987480">
        <w:rPr>
          <w:rFonts w:ascii="Calibri" w:hAnsi="Calibri" w:cs="Calibri"/>
        </w:rPr>
        <w:t xml:space="preserve"> (</w:t>
      </w:r>
      <w:proofErr w:type="spellStart"/>
      <w:r w:rsidRPr="00987480">
        <w:rPr>
          <w:rFonts w:ascii="Calibri" w:hAnsi="Calibri" w:cs="Calibri"/>
        </w:rPr>
        <w:t>University</w:t>
      </w:r>
      <w:proofErr w:type="spellEnd"/>
      <w:r w:rsidRPr="00987480">
        <w:rPr>
          <w:rFonts w:ascii="Calibri" w:hAnsi="Calibri" w:cs="Calibri"/>
        </w:rPr>
        <w:t xml:space="preserve"> of Arizona 2000). Actualmente se desempeña como Investigador Principal del Consejo Nacional de Investigaciones Científicas y Técnicas, Profesor Titular ordinario de “Arqueología Argentina” en la Facultad de Ciencias Naturales y Museo (Universidad Nacional de La Plata) y Director del Instituto Interdisciplinario Tilcara de la Facultad de Filosofía y Letras (Universidad de Buenos Aires). Sus intereses comprenden la Teoría Social y la Arqueología del Sur Andino (noroeste de Argentina y sur de Bolivia principalmente), donde desde 1986 realiza investigaciones referidas al pastoreo, el tráfico de caravanas, las prácticas políticas y la guerra durante la era prehispánica, entre otros temas. </w:t>
      </w:r>
    </w:p>
    <w:p w:rsidR="00861164" w:rsidRPr="00987480" w:rsidRDefault="00861164" w:rsidP="00861164">
      <w:pPr>
        <w:spacing w:after="0"/>
        <w:jc w:val="both"/>
        <w:rPr>
          <w:rFonts w:ascii="Calibri" w:hAnsi="Calibri" w:cs="Calibri"/>
        </w:rPr>
      </w:pPr>
    </w:p>
    <w:p w:rsidR="00861164" w:rsidRPr="000B4953" w:rsidRDefault="00861164" w:rsidP="00861164">
      <w:pPr>
        <w:spacing w:after="0"/>
        <w:jc w:val="both"/>
        <w:rPr>
          <w:rFonts w:ascii="Calibri" w:hAnsi="Calibri" w:cs="Calibri"/>
          <w:b/>
        </w:rPr>
      </w:pPr>
      <w:r w:rsidRPr="000B4953">
        <w:rPr>
          <w:rFonts w:ascii="Calibri" w:hAnsi="Calibri" w:cs="Calibri"/>
          <w:b/>
        </w:rPr>
        <w:t>Publicaciones recientes</w:t>
      </w:r>
    </w:p>
    <w:p w:rsidR="00861164" w:rsidRPr="00987480" w:rsidRDefault="00861164" w:rsidP="00861164">
      <w:pPr>
        <w:spacing w:after="0"/>
        <w:jc w:val="both"/>
        <w:rPr>
          <w:rFonts w:ascii="Calibri" w:hAnsi="Calibri" w:cs="Calibri"/>
        </w:rPr>
      </w:pPr>
    </w:p>
    <w:p w:rsidR="00861164" w:rsidRPr="00987480" w:rsidRDefault="00861164" w:rsidP="00861164">
      <w:pPr>
        <w:spacing w:after="0"/>
        <w:jc w:val="both"/>
        <w:rPr>
          <w:rFonts w:ascii="Calibri" w:hAnsi="Calibri" w:cs="Calibri"/>
          <w:iCs/>
          <w:lang w:val="en-US" w:eastAsia="es-ES"/>
        </w:rPr>
      </w:pPr>
      <w:proofErr w:type="gramStart"/>
      <w:r w:rsidRPr="00F63135">
        <w:rPr>
          <w:rFonts w:ascii="Calibri" w:hAnsi="Calibri" w:cs="Calibri"/>
          <w:iCs/>
          <w:lang w:val="en-US" w:eastAsia="es-ES"/>
        </w:rPr>
        <w:t xml:space="preserve">Nielsen, A. E. &amp; J. M. </w:t>
      </w:r>
      <w:proofErr w:type="spellStart"/>
      <w:r w:rsidRPr="00F63135">
        <w:rPr>
          <w:rFonts w:ascii="Calibri" w:hAnsi="Calibri" w:cs="Calibri"/>
          <w:iCs/>
          <w:lang w:val="en-US" w:eastAsia="es-ES"/>
        </w:rPr>
        <w:t>Maryañski</w:t>
      </w:r>
      <w:proofErr w:type="spellEnd"/>
      <w:r w:rsidRPr="00F63135">
        <w:rPr>
          <w:rFonts w:ascii="Calibri" w:hAnsi="Calibri" w:cs="Calibri"/>
          <w:iCs/>
          <w:lang w:val="en-US" w:eastAsia="es-ES"/>
        </w:rPr>
        <w:t xml:space="preserve"> (2018).</w:t>
      </w:r>
      <w:proofErr w:type="gramEnd"/>
      <w:r w:rsidRPr="00F63135">
        <w:rPr>
          <w:rFonts w:ascii="Calibri" w:hAnsi="Calibri" w:cs="Calibri"/>
          <w:iCs/>
          <w:lang w:val="en-US" w:eastAsia="es-ES"/>
        </w:rPr>
        <w:t xml:space="preserve"> </w:t>
      </w:r>
      <w:r w:rsidRPr="00987480">
        <w:rPr>
          <w:rFonts w:ascii="Calibri" w:hAnsi="Calibri" w:cs="Calibri"/>
          <w:iCs/>
          <w:lang w:eastAsia="es-ES"/>
        </w:rPr>
        <w:t xml:space="preserve">Los pastores y sus caravanas en la era del </w:t>
      </w:r>
      <w:proofErr w:type="spellStart"/>
      <w:r w:rsidRPr="00987480">
        <w:rPr>
          <w:rFonts w:ascii="Calibri" w:hAnsi="Calibri" w:cs="Calibri"/>
          <w:iCs/>
          <w:lang w:eastAsia="es-ES"/>
        </w:rPr>
        <w:t>Tawantinsuyu</w:t>
      </w:r>
      <w:proofErr w:type="spellEnd"/>
      <w:r w:rsidRPr="00987480">
        <w:rPr>
          <w:rFonts w:ascii="Calibri" w:hAnsi="Calibri" w:cs="Calibri"/>
          <w:iCs/>
          <w:lang w:eastAsia="es-ES"/>
        </w:rPr>
        <w:t xml:space="preserve">. En I. </w:t>
      </w:r>
      <w:proofErr w:type="spellStart"/>
      <w:r w:rsidRPr="00987480">
        <w:rPr>
          <w:rFonts w:ascii="Calibri" w:hAnsi="Calibri" w:cs="Calibri"/>
          <w:iCs/>
          <w:lang w:eastAsia="es-ES"/>
        </w:rPr>
        <w:t>Shimada</w:t>
      </w:r>
      <w:proofErr w:type="spellEnd"/>
      <w:r w:rsidRPr="00987480">
        <w:rPr>
          <w:rFonts w:ascii="Calibri" w:hAnsi="Calibri" w:cs="Calibri"/>
          <w:iCs/>
          <w:lang w:eastAsia="es-ES"/>
        </w:rPr>
        <w:t xml:space="preserve"> (Ed.) </w:t>
      </w:r>
      <w:r w:rsidRPr="00987480">
        <w:rPr>
          <w:rFonts w:ascii="Calibri" w:hAnsi="Calibri" w:cs="Calibri"/>
          <w:i/>
          <w:iCs/>
          <w:lang w:eastAsia="es-ES"/>
        </w:rPr>
        <w:t xml:space="preserve">El Imperio </w:t>
      </w:r>
      <w:proofErr w:type="spellStart"/>
      <w:r w:rsidRPr="00987480">
        <w:rPr>
          <w:rFonts w:ascii="Calibri" w:hAnsi="Calibri" w:cs="Calibri"/>
          <w:i/>
          <w:iCs/>
          <w:lang w:eastAsia="es-ES"/>
        </w:rPr>
        <w:t>Inka</w:t>
      </w:r>
      <w:proofErr w:type="spellEnd"/>
      <w:r w:rsidRPr="00987480">
        <w:rPr>
          <w:rFonts w:ascii="Calibri" w:hAnsi="Calibri" w:cs="Calibri"/>
          <w:i/>
          <w:iCs/>
          <w:lang w:eastAsia="es-ES"/>
        </w:rPr>
        <w:t>: Un Enfoque Multidisciplinario</w:t>
      </w:r>
      <w:r w:rsidRPr="00987480">
        <w:rPr>
          <w:rFonts w:ascii="Calibri" w:hAnsi="Calibri" w:cs="Calibri"/>
          <w:iCs/>
          <w:lang w:eastAsia="es-ES"/>
        </w:rPr>
        <w:t xml:space="preserve">. </w:t>
      </w:r>
      <w:r w:rsidRPr="00987480">
        <w:rPr>
          <w:rFonts w:ascii="Calibri" w:hAnsi="Calibri" w:cs="Calibri"/>
          <w:iCs/>
          <w:lang w:val="en-US" w:eastAsia="es-ES"/>
        </w:rPr>
        <w:t xml:space="preserve">Lima, </w:t>
      </w:r>
      <w:proofErr w:type="spellStart"/>
      <w:r w:rsidRPr="00987480">
        <w:rPr>
          <w:rFonts w:ascii="Calibri" w:hAnsi="Calibri" w:cs="Calibri"/>
          <w:iCs/>
          <w:lang w:val="en-US" w:eastAsia="es-ES"/>
        </w:rPr>
        <w:t>Pontificia</w:t>
      </w:r>
      <w:proofErr w:type="spellEnd"/>
      <w:r w:rsidRPr="00987480">
        <w:rPr>
          <w:rFonts w:ascii="Calibri" w:hAnsi="Calibri" w:cs="Calibri"/>
          <w:iCs/>
          <w:lang w:val="en-US" w:eastAsia="es-ES"/>
        </w:rPr>
        <w:t xml:space="preserve"> Universidad </w:t>
      </w:r>
      <w:proofErr w:type="spellStart"/>
      <w:r w:rsidRPr="00987480">
        <w:rPr>
          <w:rFonts w:ascii="Calibri" w:hAnsi="Calibri" w:cs="Calibri"/>
          <w:iCs/>
          <w:lang w:val="en-US" w:eastAsia="es-ES"/>
        </w:rPr>
        <w:t>Católica</w:t>
      </w:r>
      <w:proofErr w:type="spellEnd"/>
      <w:r w:rsidRPr="00987480">
        <w:rPr>
          <w:rFonts w:ascii="Calibri" w:hAnsi="Calibri" w:cs="Calibri"/>
          <w:iCs/>
          <w:lang w:val="en-US" w:eastAsia="es-ES"/>
        </w:rPr>
        <w:t xml:space="preserve"> </w:t>
      </w:r>
      <w:proofErr w:type="gramStart"/>
      <w:r w:rsidRPr="00987480">
        <w:rPr>
          <w:rFonts w:ascii="Calibri" w:hAnsi="Calibri" w:cs="Calibri"/>
          <w:iCs/>
          <w:lang w:val="en-US" w:eastAsia="es-ES"/>
        </w:rPr>
        <w:t>del</w:t>
      </w:r>
      <w:proofErr w:type="gramEnd"/>
      <w:r w:rsidRPr="00987480">
        <w:rPr>
          <w:rFonts w:ascii="Calibri" w:hAnsi="Calibri" w:cs="Calibri"/>
          <w:iCs/>
          <w:lang w:val="en-US" w:eastAsia="es-ES"/>
        </w:rPr>
        <w:t xml:space="preserve"> </w:t>
      </w:r>
      <w:proofErr w:type="spellStart"/>
      <w:r w:rsidRPr="00987480">
        <w:rPr>
          <w:rFonts w:ascii="Calibri" w:hAnsi="Calibri" w:cs="Calibri"/>
          <w:iCs/>
          <w:lang w:val="en-US" w:eastAsia="es-ES"/>
        </w:rPr>
        <w:t>Perú</w:t>
      </w:r>
      <w:proofErr w:type="spellEnd"/>
      <w:r w:rsidRPr="00987480">
        <w:rPr>
          <w:rFonts w:ascii="Calibri" w:hAnsi="Calibri" w:cs="Calibri"/>
          <w:iCs/>
          <w:lang w:val="en-US" w:eastAsia="es-ES"/>
        </w:rPr>
        <w:t>.</w:t>
      </w:r>
    </w:p>
    <w:p w:rsidR="00861164" w:rsidRPr="00987480" w:rsidRDefault="00861164" w:rsidP="00861164">
      <w:pPr>
        <w:spacing w:after="0"/>
        <w:jc w:val="both"/>
        <w:rPr>
          <w:rFonts w:ascii="Calibri" w:hAnsi="Calibri" w:cs="Calibri"/>
          <w:lang w:val="en-US"/>
        </w:rPr>
      </w:pPr>
    </w:p>
    <w:p w:rsidR="00861164" w:rsidRPr="00987480" w:rsidRDefault="00861164" w:rsidP="00861164">
      <w:pPr>
        <w:spacing w:after="0"/>
        <w:jc w:val="both"/>
        <w:rPr>
          <w:rFonts w:ascii="Calibri" w:hAnsi="Calibri" w:cs="Calibri"/>
        </w:rPr>
      </w:pPr>
      <w:r w:rsidRPr="00987480">
        <w:rPr>
          <w:rFonts w:ascii="Calibri" w:hAnsi="Calibri" w:cs="Calibri"/>
          <w:lang w:val="en-US"/>
        </w:rPr>
        <w:t xml:space="preserve">Nielsen, A. E. (2018). </w:t>
      </w:r>
      <w:proofErr w:type="spellStart"/>
      <w:r w:rsidRPr="00987480">
        <w:rPr>
          <w:rFonts w:ascii="Calibri" w:hAnsi="Calibri" w:cs="Calibri"/>
          <w:color w:val="4C1130"/>
          <w:shd w:val="clear" w:color="auto" w:fill="FFFFFF"/>
          <w:lang w:val="en-US"/>
        </w:rPr>
        <w:t>Agropastoral</w:t>
      </w:r>
      <w:proofErr w:type="spellEnd"/>
      <w:r w:rsidRPr="00987480">
        <w:rPr>
          <w:rFonts w:ascii="Calibri" w:hAnsi="Calibri" w:cs="Calibri"/>
          <w:color w:val="4C1130"/>
          <w:shd w:val="clear" w:color="auto" w:fill="FFFFFF"/>
          <w:lang w:val="en-US"/>
        </w:rPr>
        <w:t xml:space="preserve"> </w:t>
      </w:r>
      <w:proofErr w:type="spellStart"/>
      <w:r w:rsidRPr="00987480">
        <w:rPr>
          <w:rFonts w:ascii="Calibri" w:hAnsi="Calibri" w:cs="Calibri"/>
          <w:color w:val="4C1130"/>
          <w:shd w:val="clear" w:color="auto" w:fill="FFFFFF"/>
          <w:lang w:val="en-US"/>
        </w:rPr>
        <w:t>taskscapes</w:t>
      </w:r>
      <w:proofErr w:type="spellEnd"/>
      <w:r w:rsidRPr="00987480">
        <w:rPr>
          <w:rFonts w:ascii="Calibri" w:hAnsi="Calibri" w:cs="Calibri"/>
          <w:color w:val="4C1130"/>
          <w:shd w:val="clear" w:color="auto" w:fill="FFFFFF"/>
          <w:lang w:val="en-US"/>
        </w:rPr>
        <w:t xml:space="preserve"> and seasonal warfare in the southern Andes during the Regional Developments Period (13</w:t>
      </w:r>
      <w:r w:rsidRPr="00987480">
        <w:rPr>
          <w:rFonts w:ascii="Calibri" w:hAnsi="Calibri" w:cs="Calibri"/>
          <w:color w:val="4C1130"/>
          <w:shd w:val="clear" w:color="auto" w:fill="FFFFFF"/>
          <w:vertAlign w:val="superscript"/>
          <w:lang w:val="en-US"/>
        </w:rPr>
        <w:t>th</w:t>
      </w:r>
      <w:r w:rsidRPr="00987480">
        <w:rPr>
          <w:rFonts w:ascii="Calibri" w:hAnsi="Calibri" w:cs="Calibri"/>
          <w:color w:val="4C1130"/>
          <w:shd w:val="clear" w:color="auto" w:fill="FFFFFF"/>
          <w:lang w:val="en-US"/>
        </w:rPr>
        <w:t>-15</w:t>
      </w:r>
      <w:r w:rsidRPr="00987480">
        <w:rPr>
          <w:rFonts w:ascii="Calibri" w:hAnsi="Calibri" w:cs="Calibri"/>
          <w:color w:val="4C1130"/>
          <w:shd w:val="clear" w:color="auto" w:fill="FFFFFF"/>
          <w:vertAlign w:val="superscript"/>
          <w:lang w:val="en-US"/>
        </w:rPr>
        <w:t>th</w:t>
      </w:r>
      <w:r w:rsidRPr="00987480">
        <w:rPr>
          <w:rFonts w:ascii="Calibri" w:hAnsi="Calibri" w:cs="Calibri"/>
          <w:color w:val="4C1130"/>
          <w:shd w:val="clear" w:color="auto" w:fill="FFFFFF"/>
          <w:lang w:val="en-US"/>
        </w:rPr>
        <w:t xml:space="preserve"> </w:t>
      </w:r>
      <w:proofErr w:type="gramStart"/>
      <w:r w:rsidRPr="00987480">
        <w:rPr>
          <w:rFonts w:ascii="Calibri" w:hAnsi="Calibri" w:cs="Calibri"/>
          <w:color w:val="4C1130"/>
          <w:shd w:val="clear" w:color="auto" w:fill="FFFFFF"/>
          <w:lang w:val="en-US"/>
        </w:rPr>
        <w:t>century</w:t>
      </w:r>
      <w:proofErr w:type="gramEnd"/>
      <w:r w:rsidRPr="00987480">
        <w:rPr>
          <w:rFonts w:ascii="Calibri" w:hAnsi="Calibri" w:cs="Calibri"/>
          <w:color w:val="4C1130"/>
          <w:shd w:val="clear" w:color="auto" w:fill="FFFFFF"/>
          <w:lang w:val="en-US"/>
        </w:rPr>
        <w:t xml:space="preserve">). En </w:t>
      </w:r>
      <w:proofErr w:type="spellStart"/>
      <w:r w:rsidRPr="00987480">
        <w:rPr>
          <w:rFonts w:ascii="Calibri" w:hAnsi="Calibri" w:cs="Calibri"/>
          <w:lang w:val="en-GB"/>
        </w:rPr>
        <w:t>Álvarez</w:t>
      </w:r>
      <w:proofErr w:type="spellEnd"/>
      <w:r w:rsidRPr="00987480">
        <w:rPr>
          <w:rFonts w:ascii="Calibri" w:hAnsi="Calibri" w:cs="Calibri"/>
          <w:lang w:val="en-GB"/>
        </w:rPr>
        <w:t xml:space="preserve"> </w:t>
      </w:r>
      <w:proofErr w:type="spellStart"/>
      <w:r w:rsidRPr="00987480">
        <w:rPr>
          <w:rFonts w:ascii="Calibri" w:hAnsi="Calibri" w:cs="Calibri"/>
          <w:lang w:val="en-GB"/>
        </w:rPr>
        <w:t>Larrain</w:t>
      </w:r>
      <w:proofErr w:type="spellEnd"/>
      <w:r w:rsidRPr="00987480">
        <w:rPr>
          <w:rFonts w:ascii="Calibri" w:hAnsi="Calibri" w:cs="Calibri"/>
          <w:lang w:val="en-GB"/>
        </w:rPr>
        <w:t xml:space="preserve"> &amp; C. Greco(Eds.) </w:t>
      </w:r>
      <w:r w:rsidRPr="00987480">
        <w:rPr>
          <w:rFonts w:ascii="Calibri" w:hAnsi="Calibri" w:cs="Calibri"/>
          <w:i/>
          <w:lang w:val="en-GB"/>
        </w:rPr>
        <w:t xml:space="preserve">Political Landscapes of the Late Intermediate Period in the South-Central Andes: The </w:t>
      </w:r>
      <w:proofErr w:type="spellStart"/>
      <w:r w:rsidRPr="00987480">
        <w:rPr>
          <w:rFonts w:ascii="Calibri" w:hAnsi="Calibri" w:cs="Calibri"/>
          <w:i/>
          <w:lang w:val="en-GB"/>
        </w:rPr>
        <w:t>Pukaras</w:t>
      </w:r>
      <w:proofErr w:type="spellEnd"/>
      <w:r w:rsidRPr="00987480">
        <w:rPr>
          <w:rFonts w:ascii="Calibri" w:hAnsi="Calibri" w:cs="Calibri"/>
          <w:i/>
          <w:lang w:val="en-GB"/>
        </w:rPr>
        <w:t xml:space="preserve"> and their Hinterlands</w:t>
      </w:r>
      <w:r w:rsidRPr="00987480">
        <w:rPr>
          <w:rFonts w:ascii="Calibri" w:hAnsi="Calibri" w:cs="Calibri"/>
          <w:lang w:val="en-GB"/>
        </w:rPr>
        <w:t xml:space="preserve">, pp. 247-268. </w:t>
      </w:r>
      <w:r w:rsidRPr="00987480">
        <w:rPr>
          <w:rFonts w:ascii="Calibri" w:hAnsi="Calibri" w:cs="Calibri"/>
        </w:rPr>
        <w:t xml:space="preserve">New York, </w:t>
      </w:r>
      <w:proofErr w:type="spellStart"/>
      <w:r w:rsidRPr="00987480">
        <w:rPr>
          <w:rFonts w:ascii="Calibri" w:hAnsi="Calibri" w:cs="Calibri"/>
        </w:rPr>
        <w:t>Springer</w:t>
      </w:r>
      <w:proofErr w:type="spellEnd"/>
      <w:r w:rsidRPr="00987480">
        <w:rPr>
          <w:rFonts w:ascii="Calibri" w:hAnsi="Calibri" w:cs="Calibri"/>
        </w:rPr>
        <w:t>.</w:t>
      </w:r>
    </w:p>
    <w:p w:rsidR="00861164" w:rsidRPr="00987480" w:rsidRDefault="00861164" w:rsidP="00861164">
      <w:pPr>
        <w:spacing w:after="0"/>
        <w:jc w:val="both"/>
        <w:rPr>
          <w:rFonts w:ascii="Calibri" w:hAnsi="Calibri" w:cs="Calibri"/>
        </w:rPr>
      </w:pPr>
    </w:p>
    <w:p w:rsidR="00861164" w:rsidRDefault="00861164" w:rsidP="00861164">
      <w:pPr>
        <w:spacing w:after="0"/>
        <w:jc w:val="both"/>
        <w:rPr>
          <w:rFonts w:ascii="Calibri" w:hAnsi="Calibri" w:cs="Calibri"/>
        </w:rPr>
      </w:pPr>
      <w:proofErr w:type="spellStart"/>
      <w:r w:rsidRPr="00987480">
        <w:rPr>
          <w:rFonts w:ascii="Calibri" w:hAnsi="Calibri" w:cs="Calibri"/>
        </w:rPr>
        <w:t>Nielsen</w:t>
      </w:r>
      <w:proofErr w:type="spellEnd"/>
      <w:r w:rsidRPr="00987480">
        <w:rPr>
          <w:rFonts w:ascii="Calibri" w:hAnsi="Calibri" w:cs="Calibri"/>
        </w:rPr>
        <w:t>, A. E. (2018). La parafernalia para consumo de alucinógenos de "</w:t>
      </w:r>
      <w:proofErr w:type="spellStart"/>
      <w:r w:rsidRPr="00987480">
        <w:rPr>
          <w:rFonts w:ascii="Calibri" w:hAnsi="Calibri" w:cs="Calibri"/>
        </w:rPr>
        <w:t>Calilegua</w:t>
      </w:r>
      <w:proofErr w:type="spellEnd"/>
      <w:r w:rsidRPr="00987480">
        <w:rPr>
          <w:rFonts w:ascii="Calibri" w:hAnsi="Calibri" w:cs="Calibri"/>
        </w:rPr>
        <w:t xml:space="preserve">" (Jujuy, Argentina): procedencia, cronología y relaciones </w:t>
      </w:r>
      <w:proofErr w:type="spellStart"/>
      <w:r w:rsidRPr="00987480">
        <w:rPr>
          <w:rFonts w:ascii="Calibri" w:hAnsi="Calibri" w:cs="Calibri"/>
        </w:rPr>
        <w:t>circumpuneñas</w:t>
      </w:r>
      <w:proofErr w:type="spellEnd"/>
      <w:r w:rsidRPr="00987480">
        <w:rPr>
          <w:rFonts w:ascii="Calibri" w:hAnsi="Calibri" w:cs="Calibri"/>
        </w:rPr>
        <w:t xml:space="preserve">. En </w:t>
      </w:r>
      <w:r w:rsidRPr="00987480">
        <w:rPr>
          <w:rFonts w:ascii="Calibri" w:hAnsi="Calibri" w:cs="Calibri"/>
          <w:i/>
        </w:rPr>
        <w:t xml:space="preserve">Boletín del Museo Chileno de Arte Precolombino </w:t>
      </w:r>
      <w:r w:rsidRPr="00987480">
        <w:rPr>
          <w:rFonts w:ascii="Calibri" w:hAnsi="Calibri" w:cs="Calibri"/>
        </w:rPr>
        <w:t>n° 23, 71-100.</w:t>
      </w:r>
    </w:p>
    <w:p w:rsidR="00861164" w:rsidRDefault="00861164" w:rsidP="00861164">
      <w:pPr>
        <w:spacing w:after="0"/>
        <w:jc w:val="both"/>
        <w:rPr>
          <w:rFonts w:ascii="Calibri" w:hAnsi="Calibri" w:cs="Calibri"/>
        </w:rPr>
      </w:pPr>
    </w:p>
    <w:p w:rsidR="00861164" w:rsidRPr="000B4953" w:rsidRDefault="00861164" w:rsidP="00861164">
      <w:pPr>
        <w:spacing w:after="0"/>
        <w:jc w:val="both"/>
        <w:rPr>
          <w:rFonts w:ascii="Calibri" w:hAnsi="Calibri" w:cs="Calibri"/>
          <w:b/>
        </w:rPr>
      </w:pPr>
      <w:r w:rsidRPr="000B4953">
        <w:rPr>
          <w:rFonts w:ascii="Calibri" w:hAnsi="Calibri" w:cs="Calibri"/>
          <w:b/>
        </w:rPr>
        <w:t>Contacto:</w:t>
      </w:r>
    </w:p>
    <w:p w:rsidR="00861164" w:rsidRPr="00987480" w:rsidRDefault="00861164" w:rsidP="00861164">
      <w:pPr>
        <w:spacing w:after="0"/>
        <w:jc w:val="both"/>
        <w:rPr>
          <w:rFonts w:ascii="Calibri" w:hAnsi="Calibri" w:cs="Calibri"/>
        </w:rPr>
      </w:pPr>
    </w:p>
    <w:p w:rsidR="00861164" w:rsidRPr="00987480" w:rsidRDefault="00F63135" w:rsidP="00861164">
      <w:pPr>
        <w:spacing w:after="0"/>
        <w:jc w:val="both"/>
        <w:rPr>
          <w:rFonts w:ascii="Calibri" w:hAnsi="Calibri" w:cs="Calibri"/>
        </w:rPr>
      </w:pPr>
      <w:hyperlink r:id="rId6" w:history="1">
        <w:r w:rsidR="00861164" w:rsidRPr="00987480">
          <w:rPr>
            <w:rStyle w:val="Hipervnculo"/>
            <w:rFonts w:ascii="Calibri" w:hAnsi="Calibri" w:cs="Calibri"/>
          </w:rPr>
          <w:t>https://conicet-ar.academia.edu/AxelNielsen</w:t>
        </w:r>
      </w:hyperlink>
    </w:p>
    <w:p w:rsidR="00861164" w:rsidRPr="00987480" w:rsidRDefault="00861164" w:rsidP="00861164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</w:p>
    <w:p w:rsidR="00861164" w:rsidRPr="00987480" w:rsidRDefault="00861164" w:rsidP="00861164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</w:p>
    <w:p w:rsidR="00861164" w:rsidRPr="00987480" w:rsidRDefault="00861164" w:rsidP="00861164">
      <w:pPr>
        <w:spacing w:after="0"/>
        <w:jc w:val="both"/>
        <w:rPr>
          <w:rFonts w:ascii="Calibri" w:hAnsi="Calibri" w:cs="Calibri"/>
        </w:rPr>
      </w:pPr>
    </w:p>
    <w:p w:rsidR="00861164" w:rsidRDefault="00861164" w:rsidP="00861164">
      <w:pPr>
        <w:jc w:val="both"/>
        <w:rPr>
          <w:rFonts w:ascii="Calibri" w:hAnsi="Calibri" w:cs="Calibri"/>
          <w:lang w:val="es-VE"/>
        </w:rPr>
      </w:pPr>
    </w:p>
    <w:p w:rsidR="00861164" w:rsidRDefault="00861164" w:rsidP="00861164">
      <w:pPr>
        <w:jc w:val="both"/>
        <w:rPr>
          <w:rFonts w:ascii="Calibri" w:hAnsi="Calibri" w:cs="Calibri"/>
          <w:lang w:val="es-VE"/>
        </w:rPr>
      </w:pPr>
    </w:p>
    <w:p w:rsidR="00861164" w:rsidRDefault="00861164" w:rsidP="00861164">
      <w:pPr>
        <w:jc w:val="both"/>
        <w:rPr>
          <w:rFonts w:ascii="Calibri" w:hAnsi="Calibri" w:cs="Calibri"/>
          <w:lang w:val="es-VE"/>
        </w:rPr>
      </w:pPr>
    </w:p>
    <w:p w:rsidR="00861164" w:rsidRDefault="00861164" w:rsidP="00861164">
      <w:pPr>
        <w:jc w:val="both"/>
        <w:rPr>
          <w:rFonts w:ascii="Calibri" w:hAnsi="Calibri" w:cs="Calibri"/>
          <w:lang w:val="es-VE"/>
        </w:rPr>
      </w:pPr>
    </w:p>
    <w:p w:rsidR="00861164" w:rsidRDefault="00861164" w:rsidP="00861164">
      <w:pPr>
        <w:jc w:val="both"/>
        <w:rPr>
          <w:rFonts w:ascii="Calibri" w:hAnsi="Calibri" w:cs="Calibri"/>
          <w:lang w:val="es-VE"/>
        </w:rPr>
      </w:pPr>
    </w:p>
    <w:p w:rsidR="00861164" w:rsidRDefault="00861164" w:rsidP="00861164">
      <w:pPr>
        <w:jc w:val="both"/>
        <w:rPr>
          <w:rFonts w:ascii="Calibri" w:hAnsi="Calibri" w:cs="Calibri"/>
          <w:lang w:val="es-VE"/>
        </w:rPr>
      </w:pPr>
    </w:p>
    <w:p w:rsidR="001B19E9" w:rsidRPr="00861164" w:rsidRDefault="00F63135">
      <w:pPr>
        <w:rPr>
          <w:lang w:val="es-VE"/>
        </w:rPr>
      </w:pPr>
    </w:p>
    <w:sectPr w:rsidR="001B19E9" w:rsidRPr="008611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64"/>
    <w:rsid w:val="00170246"/>
    <w:rsid w:val="00482DEB"/>
    <w:rsid w:val="00861164"/>
    <w:rsid w:val="00F6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11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11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icet-ar.academia.edu/AxelNiels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2019-01-17T14:11:00Z</dcterms:created>
  <dcterms:modified xsi:type="dcterms:W3CDTF">2019-01-18T19:14:00Z</dcterms:modified>
</cp:coreProperties>
</file>